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FDBA8" w14:textId="14F4A3F4" w:rsidR="00640427" w:rsidRDefault="00640427" w:rsidP="009C36B8">
      <w:pPr>
        <w:spacing w:after="0" w:line="480" w:lineRule="auto"/>
        <w:jc w:val="center"/>
        <w:rPr>
          <w:rFonts w:ascii="Times New Roman" w:hAnsi="Times New Roman" w:cs="Times New Roman"/>
          <w:color w:val="222222"/>
          <w:sz w:val="24"/>
          <w:szCs w:val="24"/>
          <w:shd w:val="clear" w:color="auto" w:fill="FFFFFF"/>
        </w:rPr>
      </w:pPr>
    </w:p>
    <w:p w14:paraId="084274C0" w14:textId="7885AA8F"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3AED34B9" w14:textId="390C71F4"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2D7C61D4" w14:textId="17C1C0BC"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7F0BA10B" w14:textId="7C2E1E66"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1051358E" w14:textId="16803DDD"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50D20061" w14:textId="77777777"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p>
    <w:p w14:paraId="09DA7727" w14:textId="353F79C8" w:rsidR="00640427" w:rsidRPr="00640427" w:rsidRDefault="00F35223"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Summary of </w:t>
      </w:r>
      <w:r w:rsidR="00640427" w:rsidRPr="00640427">
        <w:rPr>
          <w:rFonts w:ascii="Times New Roman" w:hAnsi="Times New Roman" w:cs="Times New Roman"/>
          <w:color w:val="222222"/>
          <w:sz w:val="24"/>
          <w:szCs w:val="24"/>
          <w:shd w:val="clear" w:color="auto" w:fill="FFFFFF"/>
        </w:rPr>
        <w:t xml:space="preserve">Quantitative </w:t>
      </w:r>
      <w:r>
        <w:rPr>
          <w:rFonts w:ascii="Times New Roman" w:hAnsi="Times New Roman" w:cs="Times New Roman"/>
          <w:color w:val="222222"/>
          <w:sz w:val="24"/>
          <w:szCs w:val="24"/>
          <w:shd w:val="clear" w:color="auto" w:fill="FFFFFF"/>
        </w:rPr>
        <w:t xml:space="preserve">and Qualitative </w:t>
      </w:r>
      <w:r w:rsidR="00640427" w:rsidRPr="00640427">
        <w:rPr>
          <w:rFonts w:ascii="Times New Roman" w:hAnsi="Times New Roman" w:cs="Times New Roman"/>
          <w:color w:val="222222"/>
          <w:sz w:val="24"/>
          <w:szCs w:val="24"/>
          <w:shd w:val="clear" w:color="auto" w:fill="FFFFFF"/>
        </w:rPr>
        <w:t>Article</w:t>
      </w:r>
      <w:r>
        <w:rPr>
          <w:rFonts w:ascii="Times New Roman" w:hAnsi="Times New Roman" w:cs="Times New Roman"/>
          <w:color w:val="222222"/>
          <w:sz w:val="24"/>
          <w:szCs w:val="24"/>
          <w:shd w:val="clear" w:color="auto" w:fill="FFFFFF"/>
        </w:rPr>
        <w:t>s</w:t>
      </w:r>
    </w:p>
    <w:p w14:paraId="1D19D2B6" w14:textId="77777777" w:rsidR="00640427" w:rsidRDefault="00640427"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0D67E985" w14:textId="77777777" w:rsidR="00E36116" w:rsidRDefault="00640427"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5BB053E6" w14:textId="77777777" w:rsidR="00E36116" w:rsidRDefault="00E36116"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36572D0" w14:textId="61A395A2" w:rsidR="00E36116" w:rsidRPr="00E36116" w:rsidRDefault="00E36116" w:rsidP="009C36B8">
      <w:pPr>
        <w:spacing w:after="0" w:line="480" w:lineRule="auto"/>
        <w:jc w:val="center"/>
        <w:rPr>
          <w:rFonts w:ascii="Times New Roman" w:hAnsi="Times New Roman" w:cs="Times New Roman"/>
          <w:color w:val="222222"/>
          <w:sz w:val="24"/>
          <w:szCs w:val="24"/>
          <w:shd w:val="clear" w:color="auto" w:fill="FFFFFF"/>
        </w:rPr>
      </w:pPr>
      <w:r w:rsidRPr="00E36116">
        <w:rPr>
          <w:rFonts w:ascii="Times New Roman" w:hAnsi="Times New Roman" w:cs="Times New Roman"/>
          <w:color w:val="222222"/>
          <w:sz w:val="24"/>
          <w:szCs w:val="24"/>
          <w:shd w:val="clear" w:color="auto" w:fill="FFFFFF"/>
        </w:rPr>
        <w:lastRenderedPageBreak/>
        <w:t>Summary of Quantitative and Qualitative Articles</w:t>
      </w:r>
    </w:p>
    <w:p w14:paraId="1B9F5134" w14:textId="249FB877" w:rsidR="00640427" w:rsidRPr="00640427" w:rsidRDefault="00606332" w:rsidP="009C36B8">
      <w:pPr>
        <w:spacing w:after="0"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Summary of Quantitative Research Article</w:t>
      </w:r>
    </w:p>
    <w:p w14:paraId="49FB0391" w14:textId="20F96AAA"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The article “Postoperative Neurocognitive Dysfunction in Elderly Patients after Xenon versus Propofol Anesthesia for Major Noncardiac Surgery</w:t>
      </w:r>
      <w:r w:rsidR="00514A1F">
        <w:rPr>
          <w:rFonts w:ascii="Times New Roman" w:hAnsi="Times New Roman" w:cs="Times New Roman"/>
          <w:color w:val="222222"/>
          <w:sz w:val="24"/>
          <w:szCs w:val="24"/>
          <w:shd w:val="clear" w:color="auto" w:fill="FFFFFF"/>
        </w:rPr>
        <w:t xml:space="preserve">, </w:t>
      </w:r>
      <w:r w:rsidRPr="00640427">
        <w:rPr>
          <w:rFonts w:ascii="Times New Roman" w:hAnsi="Times New Roman" w:cs="Times New Roman"/>
          <w:color w:val="222222"/>
          <w:sz w:val="24"/>
          <w:szCs w:val="24"/>
          <w:shd w:val="clear" w:color="auto" w:fill="FFFFFF"/>
        </w:rPr>
        <w:t xml:space="preserve">A Double-blinded Randomized Controlled Pilot Study” authored by Hocker, Stapelfeldt, Leiendecker, Meybohm, Hanss, Scholz, and Bein and published in 2009 is a quantitative research based on PICOT question 1 on surgery of patients who are 60 years or older. </w:t>
      </w:r>
    </w:p>
    <w:p w14:paraId="3DC4BD0C"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The authors have not stated the research questions in their study. However, the research questions can be formulated from the background information provided in the introduction of this article. Further, they have not formally stated the hypothesis of the research. </w:t>
      </w:r>
    </w:p>
    <w:p w14:paraId="3F955A5D"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The sample size for this research study was 101 patients aged between 65 and 83 years old. The sample attributes include patients who required elective abdominal or urologic surgery. </w:t>
      </w:r>
    </w:p>
    <w:p w14:paraId="5FB875EE"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The setting of the research was University Hospital Schleswig-Holstein, Campus Kiel, Germany. Out of the 114 patients invited, 101 patients were included in the final analysis. </w:t>
      </w:r>
    </w:p>
    <w:p w14:paraId="429104A0"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Findings of this study indicated that there were no significant differences or disparities in terms of age when the American Society of Anesthesiologists administered the anesthesia. However, after a day of administering treatment, the researchers noted changes in the cognitive response of patients. In two or more tests that involved cognitive operations, about 50% of the participants showed cognitive deterioration (Höcker et al., 2009). Even though the observation did not reach the statistical significance, the authors noted that there was no significant disparity between the groups of test subjects (Höcker et al., 2009).</w:t>
      </w:r>
    </w:p>
    <w:p w14:paraId="506B4DCF" w14:textId="263A4A0F" w:rsidR="00640427" w:rsidRPr="00640427" w:rsidRDefault="00606332" w:rsidP="009C36B8">
      <w:pPr>
        <w:spacing w:after="0"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Summary of Qualitative Research Article</w:t>
      </w:r>
    </w:p>
    <w:p w14:paraId="3F94D651"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lastRenderedPageBreak/>
        <w:t xml:space="preserve">The article “Postoperative Cognitive Dysfunction after Noncardiac and Nonneurologic Surgery: An Integrative Review” authored by Woersching and published in 2017 is a qualitative research, which is associated with PICOT question 2 regarding how the POCD of surgery patients compared to their cognitive ability. </w:t>
      </w:r>
    </w:p>
    <w:p w14:paraId="4BEEAC47"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The authors have not stated the research questions or hypothesis in their research. However, the hypothesis can be formulated from the last paragraph of the research. For example, a hypothesis that “after noncardiac surgery, POCD can increase the patients’ cognitive ability which increases mortality” can be formulated. </w:t>
      </w:r>
    </w:p>
    <w:p w14:paraId="1E540B3E"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Even though it is a qualitative research, the authors used a sample size study of 16 articles that investigated patients between the age of 60 and 70 years who have undergone noncardiac surgery. </w:t>
      </w:r>
    </w:p>
    <w:p w14:paraId="19400F22" w14:textId="77777777" w:rsidR="00640427" w:rsidRP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 xml:space="preserve">The setting of this research was electronic and literature search on the following databases; PubMed, Cumulative Index to Nursing &amp; Allied Health Literature (CINAHL), Embase, and the Cochrane Database of Systematic Reviews (Woersching, 2017). The time frame for the research was between 2004 and January 2015. </w:t>
      </w:r>
    </w:p>
    <w:p w14:paraId="7738FDAB" w14:textId="71C67710" w:rsidR="00640427" w:rsidRDefault="00640427" w:rsidP="009C36B8">
      <w:pPr>
        <w:spacing w:after="0" w:line="480" w:lineRule="auto"/>
        <w:ind w:firstLine="720"/>
        <w:rPr>
          <w:rFonts w:ascii="Times New Roman" w:hAnsi="Times New Roman" w:cs="Times New Roman"/>
          <w:color w:val="222222"/>
          <w:sz w:val="24"/>
          <w:szCs w:val="24"/>
          <w:shd w:val="clear" w:color="auto" w:fill="FFFFFF"/>
        </w:rPr>
      </w:pPr>
      <w:r w:rsidRPr="00640427">
        <w:rPr>
          <w:rFonts w:ascii="Times New Roman" w:hAnsi="Times New Roman" w:cs="Times New Roman"/>
          <w:color w:val="222222"/>
          <w:sz w:val="24"/>
          <w:szCs w:val="24"/>
          <w:shd w:val="clear" w:color="auto" w:fill="FFFFFF"/>
        </w:rPr>
        <w:t>The authors’ findings showed that anesthetic technique decreased the incidence rate of POCD. In a study of 48 samples, the authors found that POCD improved in the low BIS group after 4 to 6 weeks of surgery. The authors further noted that higher BIS scores are associated with reduced incidence rates of POCD in elderly patients who have undergone noncardiac surgery. As a result, the authors concluded that postoperative cognitive dysfunction affects both healthcare cost and also the patients’ safety and quality of life (Woersching, 2017, p. 26).</w:t>
      </w:r>
    </w:p>
    <w:p w14:paraId="461C224D" w14:textId="77777777" w:rsidR="00F35223" w:rsidRDefault="00F35223"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606872FE" w14:textId="5BB19132" w:rsidR="00640427" w:rsidRDefault="00640427" w:rsidP="009C36B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22106D71" w14:textId="58A9D3B8" w:rsidR="00640427" w:rsidRPr="00557A57" w:rsidRDefault="00640427" w:rsidP="009C36B8">
      <w:pPr>
        <w:spacing w:after="0" w:line="480" w:lineRule="auto"/>
        <w:ind w:left="720" w:hanging="720"/>
        <w:rPr>
          <w:rFonts w:ascii="Times New Roman" w:hAnsi="Times New Roman" w:cs="Times New Roman"/>
          <w:color w:val="222222"/>
          <w:sz w:val="24"/>
          <w:szCs w:val="24"/>
          <w:shd w:val="clear" w:color="auto" w:fill="FFFFFF"/>
        </w:rPr>
      </w:pPr>
      <w:r w:rsidRPr="00557A57">
        <w:rPr>
          <w:rFonts w:ascii="Times New Roman" w:hAnsi="Times New Roman" w:cs="Times New Roman"/>
          <w:color w:val="222222"/>
          <w:sz w:val="24"/>
          <w:szCs w:val="24"/>
          <w:shd w:val="clear" w:color="auto" w:fill="FFFFFF"/>
        </w:rPr>
        <w:t>Höcker, J., Stapelfeldt, C., Leiendecker, J., Meybohm, P., Hanss, R., Scholz, J., &amp; Bein, B. (2009). Postoperative Neurocognitive Dysfunction in Elderly Patients after Xenon versus Propofol Anesthesia for Major Noncardiac Surgery</w:t>
      </w:r>
      <w:r w:rsidR="00277446">
        <w:rPr>
          <w:rFonts w:ascii="Times New Roman" w:hAnsi="Times New Roman" w:cs="Times New Roman"/>
          <w:color w:val="222222"/>
          <w:sz w:val="24"/>
          <w:szCs w:val="24"/>
          <w:shd w:val="clear" w:color="auto" w:fill="FFFFFF"/>
        </w:rPr>
        <w:t xml:space="preserve">, </w:t>
      </w:r>
      <w:bookmarkStart w:id="0" w:name="_GoBack"/>
      <w:bookmarkEnd w:id="0"/>
      <w:r w:rsidRPr="00557A57">
        <w:rPr>
          <w:rFonts w:ascii="Times New Roman" w:hAnsi="Times New Roman" w:cs="Times New Roman"/>
          <w:color w:val="222222"/>
          <w:sz w:val="24"/>
          <w:szCs w:val="24"/>
          <w:shd w:val="clear" w:color="auto" w:fill="FFFFFF"/>
        </w:rPr>
        <w:t>A Double-blinded Randomized Controlled Pilot Study. </w:t>
      </w:r>
      <w:r w:rsidRPr="00557A57">
        <w:rPr>
          <w:rFonts w:ascii="Times New Roman" w:hAnsi="Times New Roman" w:cs="Times New Roman"/>
          <w:i/>
          <w:iCs/>
          <w:color w:val="222222"/>
          <w:sz w:val="24"/>
          <w:szCs w:val="24"/>
          <w:shd w:val="clear" w:color="auto" w:fill="FFFFFF"/>
        </w:rPr>
        <w:t>The Journal of the American Society of Anesthesiologists</w:t>
      </w:r>
      <w:r w:rsidRPr="00557A57">
        <w:rPr>
          <w:rFonts w:ascii="Times New Roman" w:hAnsi="Times New Roman" w:cs="Times New Roman"/>
          <w:color w:val="222222"/>
          <w:sz w:val="24"/>
          <w:szCs w:val="24"/>
          <w:shd w:val="clear" w:color="auto" w:fill="FFFFFF"/>
        </w:rPr>
        <w:t>, </w:t>
      </w:r>
      <w:r w:rsidRPr="00557A57">
        <w:rPr>
          <w:rFonts w:ascii="Times New Roman" w:hAnsi="Times New Roman" w:cs="Times New Roman"/>
          <w:i/>
          <w:iCs/>
          <w:color w:val="222222"/>
          <w:sz w:val="24"/>
          <w:szCs w:val="24"/>
          <w:shd w:val="clear" w:color="auto" w:fill="FFFFFF"/>
        </w:rPr>
        <w:t>110</w:t>
      </w:r>
      <w:r w:rsidRPr="00557A57">
        <w:rPr>
          <w:rFonts w:ascii="Times New Roman" w:hAnsi="Times New Roman" w:cs="Times New Roman"/>
          <w:color w:val="222222"/>
          <w:sz w:val="24"/>
          <w:szCs w:val="24"/>
          <w:shd w:val="clear" w:color="auto" w:fill="FFFFFF"/>
        </w:rPr>
        <w:t>(5), 1068-1076.</w:t>
      </w:r>
    </w:p>
    <w:p w14:paraId="0E5ACFB1" w14:textId="4AA862E1" w:rsidR="00640427" w:rsidRPr="00F35223" w:rsidRDefault="00640427" w:rsidP="009C36B8">
      <w:pPr>
        <w:spacing w:after="0" w:line="480" w:lineRule="auto"/>
        <w:ind w:left="720" w:hanging="720"/>
        <w:rPr>
          <w:rFonts w:ascii="Times New Roman" w:hAnsi="Times New Roman" w:cs="Times New Roman"/>
          <w:sz w:val="24"/>
          <w:szCs w:val="24"/>
        </w:rPr>
      </w:pPr>
      <w:r w:rsidRPr="00557A57">
        <w:rPr>
          <w:rFonts w:ascii="Times New Roman" w:hAnsi="Times New Roman" w:cs="Times New Roman"/>
          <w:color w:val="222222"/>
          <w:sz w:val="24"/>
          <w:szCs w:val="24"/>
          <w:shd w:val="clear" w:color="auto" w:fill="FFFFFF"/>
        </w:rPr>
        <w:t>Woersching, J. (2017). Postoperative Cognitive Dysfunction after Noncardiac and Nonneurologic Surgery: An Integrative Review. </w:t>
      </w:r>
      <w:r w:rsidRPr="00557A57">
        <w:rPr>
          <w:rFonts w:ascii="Times New Roman" w:hAnsi="Times New Roman" w:cs="Times New Roman"/>
          <w:i/>
          <w:iCs/>
          <w:color w:val="222222"/>
          <w:sz w:val="24"/>
          <w:szCs w:val="24"/>
          <w:shd w:val="clear" w:color="auto" w:fill="FFFFFF"/>
        </w:rPr>
        <w:t>AANA Journal</w:t>
      </w:r>
      <w:r w:rsidRPr="00557A57">
        <w:rPr>
          <w:rFonts w:ascii="Times New Roman" w:hAnsi="Times New Roman" w:cs="Times New Roman"/>
          <w:color w:val="222222"/>
          <w:sz w:val="24"/>
          <w:szCs w:val="24"/>
          <w:shd w:val="clear" w:color="auto" w:fill="FFFFFF"/>
        </w:rPr>
        <w:t>, </w:t>
      </w:r>
      <w:r w:rsidRPr="00557A57">
        <w:rPr>
          <w:rFonts w:ascii="Times New Roman" w:hAnsi="Times New Roman" w:cs="Times New Roman"/>
          <w:i/>
          <w:iCs/>
          <w:color w:val="222222"/>
          <w:sz w:val="24"/>
          <w:szCs w:val="24"/>
          <w:shd w:val="clear" w:color="auto" w:fill="FFFFFF"/>
        </w:rPr>
        <w:t>85</w:t>
      </w:r>
      <w:r w:rsidRPr="00557A57">
        <w:rPr>
          <w:rFonts w:ascii="Times New Roman" w:hAnsi="Times New Roman" w:cs="Times New Roman"/>
          <w:color w:val="222222"/>
          <w:sz w:val="24"/>
          <w:szCs w:val="24"/>
          <w:shd w:val="clear" w:color="auto" w:fill="FFFFFF"/>
        </w:rPr>
        <w:t>(1).</w:t>
      </w:r>
    </w:p>
    <w:sectPr w:rsidR="00640427" w:rsidRPr="00F35223" w:rsidSect="00F352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9EB7C" w14:textId="77777777" w:rsidR="0061041E" w:rsidRDefault="0061041E" w:rsidP="00640427">
      <w:pPr>
        <w:spacing w:after="0" w:line="240" w:lineRule="auto"/>
      </w:pPr>
      <w:r>
        <w:separator/>
      </w:r>
    </w:p>
  </w:endnote>
  <w:endnote w:type="continuationSeparator" w:id="0">
    <w:p w14:paraId="2D78575C" w14:textId="77777777" w:rsidR="0061041E" w:rsidRDefault="0061041E" w:rsidP="0064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BA99C" w14:textId="77777777" w:rsidR="0061041E" w:rsidRDefault="0061041E" w:rsidP="00640427">
      <w:pPr>
        <w:spacing w:after="0" w:line="240" w:lineRule="auto"/>
      </w:pPr>
      <w:r>
        <w:separator/>
      </w:r>
    </w:p>
  </w:footnote>
  <w:footnote w:type="continuationSeparator" w:id="0">
    <w:p w14:paraId="7C3562BF" w14:textId="77777777" w:rsidR="0061041E" w:rsidRDefault="0061041E" w:rsidP="00640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56895404"/>
      <w:docPartObj>
        <w:docPartGallery w:val="Page Numbers (Top of Page)"/>
        <w:docPartUnique/>
      </w:docPartObj>
    </w:sdtPr>
    <w:sdtEndPr>
      <w:rPr>
        <w:noProof/>
      </w:rPr>
    </w:sdtEndPr>
    <w:sdtContent>
      <w:p w14:paraId="3F49C890" w14:textId="6CD450E1" w:rsidR="00F35223" w:rsidRPr="00F35223" w:rsidRDefault="00F35223" w:rsidP="00F35223">
        <w:pPr>
          <w:pStyle w:val="Header"/>
          <w:jc w:val="right"/>
          <w:rPr>
            <w:rFonts w:ascii="Times New Roman" w:hAnsi="Times New Roman" w:cs="Times New Roman"/>
          </w:rPr>
        </w:pPr>
        <w:r w:rsidRPr="00F35223">
          <w:rPr>
            <w:rFonts w:ascii="Times New Roman" w:hAnsi="Times New Roman" w:cs="Times New Roman"/>
          </w:rPr>
          <w:t>SUMMARY OF</w:t>
        </w:r>
        <w:r w:rsidR="009817E3">
          <w:rPr>
            <w:rFonts w:ascii="Times New Roman" w:hAnsi="Times New Roman" w:cs="Times New Roman"/>
          </w:rPr>
          <w:t xml:space="preserve"> </w:t>
        </w:r>
        <w:r w:rsidRPr="00F35223">
          <w:rPr>
            <w:rFonts w:ascii="Times New Roman" w:hAnsi="Times New Roman" w:cs="Times New Roman"/>
          </w:rPr>
          <w:t xml:space="preserve">QUANTITATIVE AND QUALITATIVE ARTICLES </w:t>
        </w:r>
        <w:r>
          <w:rPr>
            <w:rFonts w:ascii="Times New Roman" w:hAnsi="Times New Roman" w:cs="Times New Roman"/>
          </w:rPr>
          <w:t xml:space="preserve">                                            </w:t>
        </w:r>
        <w:r w:rsidR="009817E3">
          <w:rPr>
            <w:rFonts w:ascii="Times New Roman" w:hAnsi="Times New Roman" w:cs="Times New Roman"/>
          </w:rPr>
          <w:t xml:space="preserve">       </w:t>
        </w:r>
        <w:r w:rsidRPr="00F35223">
          <w:rPr>
            <w:rFonts w:ascii="Times New Roman" w:hAnsi="Times New Roman" w:cs="Times New Roman"/>
          </w:rPr>
          <w:fldChar w:fldCharType="begin"/>
        </w:r>
        <w:r w:rsidRPr="00F35223">
          <w:rPr>
            <w:rFonts w:ascii="Times New Roman" w:hAnsi="Times New Roman" w:cs="Times New Roman"/>
          </w:rPr>
          <w:instrText xml:space="preserve"> PAGE   \* MERGEFORMAT </w:instrText>
        </w:r>
        <w:r w:rsidRPr="00F35223">
          <w:rPr>
            <w:rFonts w:ascii="Times New Roman" w:hAnsi="Times New Roman" w:cs="Times New Roman"/>
          </w:rPr>
          <w:fldChar w:fldCharType="separate"/>
        </w:r>
        <w:r w:rsidRPr="00F35223">
          <w:rPr>
            <w:rFonts w:ascii="Times New Roman" w:hAnsi="Times New Roman" w:cs="Times New Roman"/>
            <w:noProof/>
          </w:rPr>
          <w:t>2</w:t>
        </w:r>
        <w:r w:rsidRPr="00F35223">
          <w:rPr>
            <w:rFonts w:ascii="Times New Roman" w:hAnsi="Times New Roman" w:cs="Times New Roman"/>
            <w:noProof/>
          </w:rPr>
          <w:fldChar w:fldCharType="end"/>
        </w:r>
      </w:p>
    </w:sdtContent>
  </w:sdt>
  <w:p w14:paraId="5BE41593" w14:textId="4DD47116" w:rsidR="00640427" w:rsidRPr="00F35223" w:rsidRDefault="00640427" w:rsidP="00F35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79838649"/>
      <w:docPartObj>
        <w:docPartGallery w:val="Page Numbers (Top of Page)"/>
        <w:docPartUnique/>
      </w:docPartObj>
    </w:sdtPr>
    <w:sdtEndPr>
      <w:rPr>
        <w:noProof/>
      </w:rPr>
    </w:sdtEndPr>
    <w:sdtContent>
      <w:p w14:paraId="17EDFBBB" w14:textId="652B8B12" w:rsidR="00F35223" w:rsidRPr="00F35223" w:rsidRDefault="00F35223" w:rsidP="00F35223">
        <w:pPr>
          <w:pStyle w:val="Header"/>
          <w:jc w:val="right"/>
          <w:rPr>
            <w:rFonts w:ascii="Times New Roman" w:hAnsi="Times New Roman" w:cs="Times New Roman"/>
          </w:rPr>
        </w:pPr>
        <w:r>
          <w:rPr>
            <w:rFonts w:ascii="Times New Roman" w:hAnsi="Times New Roman" w:cs="Times New Roman"/>
          </w:rPr>
          <w:t xml:space="preserve">Running head: </w:t>
        </w:r>
        <w:r w:rsidRPr="00F35223">
          <w:rPr>
            <w:rFonts w:ascii="Times New Roman" w:hAnsi="Times New Roman" w:cs="Times New Roman"/>
          </w:rPr>
          <w:t>SUMMARY OF</w:t>
        </w:r>
        <w:r>
          <w:rPr>
            <w:rFonts w:ascii="Times New Roman" w:hAnsi="Times New Roman" w:cs="Times New Roman"/>
          </w:rPr>
          <w:t xml:space="preserve"> </w:t>
        </w:r>
        <w:r w:rsidRPr="00F35223">
          <w:rPr>
            <w:rFonts w:ascii="Times New Roman" w:hAnsi="Times New Roman" w:cs="Times New Roman"/>
          </w:rPr>
          <w:t xml:space="preserve">QUANTITATIVE AND QUALITATIVE ARTICLES </w:t>
        </w:r>
        <w:r>
          <w:rPr>
            <w:rFonts w:ascii="Times New Roman" w:hAnsi="Times New Roman" w:cs="Times New Roman"/>
          </w:rPr>
          <w:t xml:space="preserve">                   </w:t>
        </w:r>
        <w:r w:rsidR="00671200">
          <w:rPr>
            <w:rFonts w:ascii="Times New Roman" w:hAnsi="Times New Roman" w:cs="Times New Roman"/>
          </w:rPr>
          <w:t xml:space="preserve">        </w:t>
        </w:r>
        <w:r w:rsidRPr="00F35223">
          <w:rPr>
            <w:rFonts w:ascii="Times New Roman" w:hAnsi="Times New Roman" w:cs="Times New Roman"/>
          </w:rPr>
          <w:fldChar w:fldCharType="begin"/>
        </w:r>
        <w:r w:rsidRPr="00F35223">
          <w:rPr>
            <w:rFonts w:ascii="Times New Roman" w:hAnsi="Times New Roman" w:cs="Times New Roman"/>
          </w:rPr>
          <w:instrText xml:space="preserve"> PAGE   \* MERGEFORMAT </w:instrText>
        </w:r>
        <w:r w:rsidRPr="00F35223">
          <w:rPr>
            <w:rFonts w:ascii="Times New Roman" w:hAnsi="Times New Roman" w:cs="Times New Roman"/>
          </w:rPr>
          <w:fldChar w:fldCharType="separate"/>
        </w:r>
        <w:r w:rsidRPr="00F35223">
          <w:rPr>
            <w:rFonts w:ascii="Times New Roman" w:hAnsi="Times New Roman" w:cs="Times New Roman"/>
            <w:noProof/>
          </w:rPr>
          <w:t>2</w:t>
        </w:r>
        <w:r w:rsidRPr="00F35223">
          <w:rPr>
            <w:rFonts w:ascii="Times New Roman" w:hAnsi="Times New Roman" w:cs="Times New Roman"/>
            <w:noProof/>
          </w:rPr>
          <w:fldChar w:fldCharType="end"/>
        </w:r>
      </w:p>
    </w:sdtContent>
  </w:sdt>
  <w:p w14:paraId="6288D7F2" w14:textId="77777777" w:rsidR="00F35223" w:rsidRDefault="00F35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9C1"/>
    <w:rsid w:val="00277446"/>
    <w:rsid w:val="003E1F60"/>
    <w:rsid w:val="00514A1F"/>
    <w:rsid w:val="005B3ADB"/>
    <w:rsid w:val="00606332"/>
    <w:rsid w:val="0061041E"/>
    <w:rsid w:val="00640427"/>
    <w:rsid w:val="00671200"/>
    <w:rsid w:val="007E129D"/>
    <w:rsid w:val="009817E3"/>
    <w:rsid w:val="009C36B8"/>
    <w:rsid w:val="00A77771"/>
    <w:rsid w:val="00AA689B"/>
    <w:rsid w:val="00E014FD"/>
    <w:rsid w:val="00E36116"/>
    <w:rsid w:val="00E629C1"/>
    <w:rsid w:val="00F35223"/>
    <w:rsid w:val="00F9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E63EF"/>
  <w15:docId w15:val="{054E0CEB-3060-4646-AF6A-08C3C4E6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427"/>
  </w:style>
  <w:style w:type="paragraph" w:styleId="Footer">
    <w:name w:val="footer"/>
    <w:basedOn w:val="Normal"/>
    <w:link w:val="FooterChar"/>
    <w:uiPriority w:val="99"/>
    <w:unhideWhenUsed/>
    <w:rsid w:val="0064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2018-09-09T06:14:00Z</dcterms:created>
  <dcterms:modified xsi:type="dcterms:W3CDTF">2018-09-09T08:54:00Z</dcterms:modified>
</cp:coreProperties>
</file>